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1CD84" w14:textId="77777777" w:rsidR="006E007E" w:rsidRPr="00156665" w:rsidRDefault="004E1493" w:rsidP="00364FF8">
      <w:pPr>
        <w:spacing w:line="276" w:lineRule="auto"/>
        <w:ind w:hanging="15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eastAsia="de-DE"/>
        </w:rPr>
        <w:drawing>
          <wp:inline distT="0" distB="0" distL="0" distR="0" wp14:anchorId="1C7CCB12" wp14:editId="7A87253D">
            <wp:extent cx="2284163" cy="738835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TCM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00" cy="7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2381" w14:textId="112D032F" w:rsidR="000E5F65" w:rsidRPr="00156665" w:rsidRDefault="00473DF2" w:rsidP="00364FF8">
      <w:pPr>
        <w:pStyle w:val="Kopfzeile1"/>
        <w:spacing w:line="276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  <w:r w:rsidRPr="00156665">
        <w:rPr>
          <w:rFonts w:ascii="Century Gothic" w:eastAsia="ヒラギノ角ゴ Pro W3" w:hAnsi="Century Gothic" w:cstheme="minorHAnsi"/>
          <w:b/>
          <w:bCs/>
          <w:sz w:val="28"/>
        </w:rPr>
        <w:t>Pressemitteilung</w:t>
      </w:r>
      <w:r w:rsidR="003B0CD3">
        <w:rPr>
          <w:rFonts w:ascii="Century Gothic" w:eastAsia="ヒラギノ角ゴ Pro W3" w:hAnsi="Century Gothic" w:cstheme="minorHAnsi"/>
          <w:b/>
          <w:bCs/>
          <w:sz w:val="28"/>
        </w:rPr>
        <w:t xml:space="preserve"> </w:t>
      </w:r>
    </w:p>
    <w:p w14:paraId="14D437DE" w14:textId="77777777" w:rsidR="005155AF" w:rsidRPr="00156665" w:rsidRDefault="005155AF" w:rsidP="00364FF8">
      <w:pPr>
        <w:pStyle w:val="Kopfzeile1"/>
        <w:spacing w:line="276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</w:p>
    <w:p w14:paraId="55BEB6D1" w14:textId="3CA71DF6" w:rsidR="006E007E" w:rsidRDefault="003B0CD3" w:rsidP="00364FF8">
      <w:pPr>
        <w:pStyle w:val="Kopfzeile1"/>
        <w:spacing w:line="276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Post-COVID-Syndrom: Erfahrungen und Tipps aus der TCM-Praxis</w:t>
      </w:r>
    </w:p>
    <w:p w14:paraId="723538EF" w14:textId="323419CB" w:rsidR="00364FF8" w:rsidRDefault="00364FF8" w:rsidP="00364FF8">
      <w:pPr>
        <w:pStyle w:val="Kopfzeile1"/>
        <w:spacing w:line="276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Fallstudien, Symposiumsbericht, Ernährungsberatung</w:t>
      </w:r>
    </w:p>
    <w:p w14:paraId="61ACD880" w14:textId="77777777" w:rsidR="00364FF8" w:rsidRPr="003C5B6B" w:rsidRDefault="00364FF8" w:rsidP="00364FF8">
      <w:pPr>
        <w:pStyle w:val="Kopfzeile1"/>
        <w:spacing w:line="276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</w:p>
    <w:p w14:paraId="5006C347" w14:textId="218DAD7C" w:rsidR="003B0CD3" w:rsidRDefault="009E2116" w:rsidP="00364FF8">
      <w:pPr>
        <w:pStyle w:val="Textkrper"/>
        <w:spacing w:line="276" w:lineRule="auto"/>
        <w:rPr>
          <w:rFonts w:ascii="Century Gothic" w:hAnsi="Century Gothic" w:cstheme="minorHAnsi"/>
          <w:b/>
        </w:rPr>
      </w:pPr>
      <w:r w:rsidRPr="006D0C0D">
        <w:rPr>
          <w:rFonts w:ascii="Century Gothic" w:hAnsi="Century Gothic" w:cstheme="minorHAnsi"/>
          <w:b/>
        </w:rPr>
        <w:t>Berlin</w:t>
      </w:r>
      <w:r w:rsidR="00473DF2" w:rsidRPr="006D0C0D">
        <w:rPr>
          <w:rFonts w:ascii="Century Gothic" w:hAnsi="Century Gothic" w:cstheme="minorHAnsi"/>
          <w:b/>
        </w:rPr>
        <w:t xml:space="preserve">, </w:t>
      </w:r>
      <w:r w:rsidR="000528D5">
        <w:rPr>
          <w:rFonts w:ascii="Century Gothic" w:hAnsi="Century Gothic" w:cstheme="minorHAnsi"/>
          <w:b/>
        </w:rPr>
        <w:t>11</w:t>
      </w:r>
      <w:r w:rsidR="003B0CD3" w:rsidRPr="00217D3F">
        <w:rPr>
          <w:rFonts w:ascii="Century Gothic" w:hAnsi="Century Gothic" w:cstheme="minorHAnsi"/>
          <w:b/>
        </w:rPr>
        <w:t>.</w:t>
      </w:r>
      <w:r w:rsidR="0014492A" w:rsidRPr="00217D3F">
        <w:rPr>
          <w:rFonts w:ascii="Century Gothic" w:hAnsi="Century Gothic" w:cstheme="minorHAnsi"/>
          <w:b/>
        </w:rPr>
        <w:t>10</w:t>
      </w:r>
      <w:r w:rsidRPr="00217D3F">
        <w:rPr>
          <w:rFonts w:ascii="Century Gothic" w:hAnsi="Century Gothic" w:cstheme="minorHAnsi"/>
          <w:b/>
        </w:rPr>
        <w:t>.202</w:t>
      </w:r>
      <w:r w:rsidR="00EF6342" w:rsidRPr="00217D3F">
        <w:rPr>
          <w:rFonts w:ascii="Century Gothic" w:hAnsi="Century Gothic" w:cstheme="minorHAnsi"/>
          <w:b/>
        </w:rPr>
        <w:t>1</w:t>
      </w:r>
      <w:r w:rsidR="00156665" w:rsidRPr="003C5B6B">
        <w:rPr>
          <w:rFonts w:ascii="Century Gothic" w:hAnsi="Century Gothic" w:cstheme="minorHAnsi"/>
          <w:b/>
        </w:rPr>
        <w:t xml:space="preserve"> </w:t>
      </w:r>
      <w:r w:rsidR="000E5F65">
        <w:rPr>
          <w:rFonts w:ascii="Century Gothic" w:hAnsi="Century Gothic" w:cstheme="minorHAnsi"/>
          <w:b/>
        </w:rPr>
        <w:t xml:space="preserve">– </w:t>
      </w:r>
      <w:r w:rsidR="003B0CD3">
        <w:rPr>
          <w:rFonts w:ascii="Century Gothic" w:hAnsi="Century Gothic" w:cstheme="minorHAnsi"/>
          <w:b/>
        </w:rPr>
        <w:t xml:space="preserve">Wer 12 Wochen oder länger nach einer COVID-19-Erkrankung mit Symptomen wie </w:t>
      </w:r>
      <w:r w:rsidR="003B0CD3" w:rsidRPr="003B0CD3">
        <w:rPr>
          <w:rFonts w:ascii="Century Gothic" w:hAnsi="Century Gothic" w:cstheme="minorHAnsi"/>
          <w:b/>
        </w:rPr>
        <w:t>Chronischer Müdigkeit</w:t>
      </w:r>
      <w:r w:rsidR="003B0CD3">
        <w:rPr>
          <w:rFonts w:ascii="Century Gothic" w:hAnsi="Century Gothic" w:cstheme="minorHAnsi"/>
          <w:b/>
        </w:rPr>
        <w:t xml:space="preserve"> (Fatigue)</w:t>
      </w:r>
      <w:r w:rsidR="003B0CD3" w:rsidRPr="003B0CD3">
        <w:rPr>
          <w:rFonts w:ascii="Century Gothic" w:hAnsi="Century Gothic" w:cstheme="minorHAnsi"/>
          <w:b/>
        </w:rPr>
        <w:t>, Atembeschwerden, Konzentrationsproblemen oder Depressionen</w:t>
      </w:r>
      <w:r w:rsidR="003B0CD3">
        <w:rPr>
          <w:rFonts w:ascii="Century Gothic" w:hAnsi="Century Gothic" w:cstheme="minorHAnsi"/>
          <w:b/>
        </w:rPr>
        <w:t xml:space="preserve"> zu kämpfen hat, leidet möglicherweise am sogenannten Post-COVID-Syndrom. In der Behandlung dieses vielfältigen Beschwerdebilds können TCM-Therapeut:innen mit ihrem ganzheitlichen Ansatz hilfreich sein. Auf der Website des Fachverbandes für Chinesische Medizin wurden jetzt </w:t>
      </w:r>
      <w:r w:rsidR="00364FF8">
        <w:rPr>
          <w:rFonts w:ascii="Century Gothic" w:hAnsi="Century Gothic" w:cstheme="minorHAnsi"/>
          <w:b/>
        </w:rPr>
        <w:t xml:space="preserve">im Themenspecial „Post-COVID“ </w:t>
      </w:r>
      <w:r w:rsidR="00AF6C20">
        <w:rPr>
          <w:rFonts w:ascii="Century Gothic" w:hAnsi="Century Gothic" w:cstheme="minorHAnsi"/>
          <w:b/>
        </w:rPr>
        <w:t>verschiedene Informationen für Therapeut:innen und Patient:innen dazu veröffentlicht.</w:t>
      </w:r>
    </w:p>
    <w:p w14:paraId="346CBF91" w14:textId="11DA0FDE" w:rsidR="000E5F65" w:rsidRPr="00AF6C20" w:rsidRDefault="00AF6C20" w:rsidP="00364FF8">
      <w:pPr>
        <w:spacing w:after="240" w:line="276" w:lineRule="auto"/>
        <w:rPr>
          <w:rFonts w:ascii="Century Gothic" w:hAnsi="Century Gothic" w:cstheme="minorHAnsi"/>
        </w:rPr>
      </w:pPr>
      <w:r w:rsidRPr="00AF6C20">
        <w:rPr>
          <w:rFonts w:ascii="Century Gothic" w:hAnsi="Century Gothic" w:cstheme="minorHAnsi"/>
        </w:rPr>
        <w:t xml:space="preserve">Im Unterschied zur akuten </w:t>
      </w:r>
      <w:r>
        <w:rPr>
          <w:rFonts w:ascii="Century Gothic" w:hAnsi="Century Gothic" w:cstheme="minorHAnsi"/>
        </w:rPr>
        <w:t xml:space="preserve">COVID-19-Erkrankung dürfen </w:t>
      </w:r>
      <w:r w:rsidR="00CE4C25">
        <w:rPr>
          <w:rFonts w:ascii="Century Gothic" w:hAnsi="Century Gothic" w:cstheme="minorHAnsi"/>
        </w:rPr>
        <w:t xml:space="preserve">zusätzlich zu den Ärzt:innen auch </w:t>
      </w:r>
      <w:r>
        <w:rPr>
          <w:rFonts w:ascii="Century Gothic" w:hAnsi="Century Gothic" w:cstheme="minorHAnsi"/>
        </w:rPr>
        <w:t xml:space="preserve">Heilpraktiker:innen </w:t>
      </w:r>
      <w:r w:rsidR="00364FF8">
        <w:rPr>
          <w:rFonts w:ascii="Century Gothic" w:hAnsi="Century Gothic" w:cstheme="minorHAnsi"/>
        </w:rPr>
        <w:t xml:space="preserve">in Deutschland </w:t>
      </w:r>
      <w:r>
        <w:rPr>
          <w:rFonts w:ascii="Century Gothic" w:hAnsi="Century Gothic" w:cstheme="minorHAnsi"/>
        </w:rPr>
        <w:t xml:space="preserve">die Langzeitfolgen dieser Krankheit behandeln. Solche Fälle sind </w:t>
      </w:r>
      <w:r w:rsidR="00364FF8">
        <w:rPr>
          <w:rFonts w:ascii="Century Gothic" w:hAnsi="Century Gothic" w:cstheme="minorHAnsi"/>
        </w:rPr>
        <w:t xml:space="preserve">in der </w:t>
      </w:r>
      <w:r w:rsidR="004169DC">
        <w:rPr>
          <w:rFonts w:ascii="Century Gothic" w:hAnsi="Century Gothic" w:cstheme="minorHAnsi"/>
        </w:rPr>
        <w:t>TCM-</w:t>
      </w:r>
      <w:r w:rsidR="00364FF8">
        <w:rPr>
          <w:rFonts w:ascii="Century Gothic" w:hAnsi="Century Gothic" w:cstheme="minorHAnsi"/>
        </w:rPr>
        <w:t xml:space="preserve">Praxis </w:t>
      </w:r>
      <w:r>
        <w:rPr>
          <w:rFonts w:ascii="Century Gothic" w:hAnsi="Century Gothic" w:cstheme="minorHAnsi"/>
        </w:rPr>
        <w:t>noch relativ selten. Es ist aber damit zu rechnen, dass sie zukünftig häufiger an die Therapeut:innen herangetragen werden, denn 10 – 35 % der ehemals Infizierten entwickeln Schätzungen zufolge komplexe Folgeerkrankungen.</w:t>
      </w:r>
    </w:p>
    <w:p w14:paraId="60A57047" w14:textId="126F367B" w:rsidR="00E35E13" w:rsidRDefault="00AF6C20" w:rsidP="00364FF8">
      <w:pPr>
        <w:spacing w:after="240"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Die AGTCM hat darum Informationen zum Umgang mit dem Post-COVID-Syndrom in der TCM-Praxis zusammengetragen. Die Artikel richten sich mehrheitlich an TCM-Therapeutinnen und Therapeuten und sollen diesen Orientierung und Hilfestellung bieten. </w:t>
      </w:r>
    </w:p>
    <w:p w14:paraId="1FA3163D" w14:textId="156C53BF" w:rsidR="001451EE" w:rsidRPr="001451EE" w:rsidRDefault="001451EE" w:rsidP="00364FF8">
      <w:pPr>
        <w:pStyle w:val="Textkrper"/>
        <w:spacing w:line="276" w:lineRule="auto"/>
        <w:jc w:val="left"/>
        <w:rPr>
          <w:rFonts w:ascii="Century Gothic" w:hAnsi="Century Gothic" w:cstheme="minorHAnsi"/>
          <w:b/>
          <w:bCs/>
        </w:rPr>
      </w:pPr>
      <w:r w:rsidRPr="001451EE">
        <w:rPr>
          <w:rFonts w:ascii="Century Gothic" w:hAnsi="Century Gothic" w:cstheme="minorHAnsi"/>
          <w:b/>
          <w:bCs/>
        </w:rPr>
        <w:t xml:space="preserve">Für TCM-Therapeut:innen: </w:t>
      </w:r>
      <w:r w:rsidR="00E51352">
        <w:rPr>
          <w:rFonts w:ascii="Century Gothic" w:hAnsi="Century Gothic" w:cstheme="minorHAnsi"/>
          <w:b/>
          <w:bCs/>
        </w:rPr>
        <w:t xml:space="preserve">Symposiumsbericht, Falldokumentation, Erfahrungsbericht und Qigong </w:t>
      </w:r>
    </w:p>
    <w:p w14:paraId="34F1F430" w14:textId="37F1A899" w:rsidR="00E51352" w:rsidRPr="00364FF8" w:rsidRDefault="006B5D2A" w:rsidP="00364FF8">
      <w:pPr>
        <w:pStyle w:val="Listenabsatz"/>
        <w:numPr>
          <w:ilvl w:val="0"/>
          <w:numId w:val="12"/>
        </w:numPr>
        <w:spacing w:after="240" w:line="276" w:lineRule="auto"/>
        <w:rPr>
          <w:rFonts w:ascii="Century Gothic" w:hAnsi="Century Gothic" w:cstheme="minorHAnsi"/>
        </w:rPr>
      </w:pPr>
      <w:hyperlink r:id="rId9" w:history="1">
        <w:r w:rsidR="00E51352" w:rsidRPr="00364FF8">
          <w:rPr>
            <w:rStyle w:val="Hyperlink"/>
            <w:rFonts w:ascii="Century Gothic" w:hAnsi="Century Gothic" w:cstheme="minorHAnsi"/>
            <w:b/>
            <w:bCs/>
          </w:rPr>
          <w:t>Covid-19 und die Chinesische Medizin</w:t>
        </w:r>
      </w:hyperlink>
      <w:r w:rsidR="00E51352" w:rsidRPr="00364FF8">
        <w:rPr>
          <w:rFonts w:ascii="Century Gothic" w:hAnsi="Century Gothic" w:cstheme="minorHAnsi"/>
        </w:rPr>
        <w:t xml:space="preserve"> – Wo stehen wir? Zusammenfassung zum Internationalen Covid-19-Symposium (Ätiologie, Therapie-Strategien, Fallstudien)</w:t>
      </w:r>
    </w:p>
    <w:p w14:paraId="5CB3C7A6" w14:textId="6AC52D48" w:rsidR="00E51352" w:rsidRPr="00E51352" w:rsidRDefault="006B5D2A" w:rsidP="00364FF8">
      <w:pPr>
        <w:pStyle w:val="Listenabsatz"/>
        <w:numPr>
          <w:ilvl w:val="0"/>
          <w:numId w:val="12"/>
        </w:numPr>
        <w:spacing w:after="240" w:line="276" w:lineRule="auto"/>
        <w:rPr>
          <w:rFonts w:ascii="Century Gothic" w:hAnsi="Century Gothic" w:cstheme="minorHAnsi"/>
        </w:rPr>
      </w:pPr>
      <w:hyperlink r:id="rId10" w:history="1">
        <w:r w:rsidR="00E51352" w:rsidRPr="00364FF8">
          <w:rPr>
            <w:rStyle w:val="Hyperlink"/>
            <w:rFonts w:ascii="Century Gothic" w:hAnsi="Century Gothic" w:cstheme="minorHAnsi"/>
            <w:b/>
            <w:bCs/>
          </w:rPr>
          <w:t>Post-Covid – Eine Falldokumentation aus der TCM-Praxis</w:t>
        </w:r>
        <w:r w:rsidR="00E51352" w:rsidRPr="00E51352">
          <w:rPr>
            <w:rStyle w:val="Hyperlink"/>
            <w:rFonts w:ascii="Century Gothic" w:hAnsi="Century Gothic" w:cstheme="minorHAnsi"/>
          </w:rPr>
          <w:t>:</w:t>
        </w:r>
      </w:hyperlink>
      <w:r w:rsidR="00E51352" w:rsidRPr="00E51352">
        <w:rPr>
          <w:rFonts w:ascii="Century Gothic" w:hAnsi="Century Gothic" w:cstheme="minorHAnsi"/>
        </w:rPr>
        <w:t xml:space="preserve"> „Behandle, was Du siehst“</w:t>
      </w:r>
      <w:r w:rsidR="00364FF8">
        <w:rPr>
          <w:rFonts w:ascii="Century Gothic" w:hAnsi="Century Gothic" w:cstheme="minorHAnsi"/>
        </w:rPr>
        <w:t xml:space="preserve"> mit Informationen zu Behandlungsstrategie und Kräuterrezepturen</w:t>
      </w:r>
    </w:p>
    <w:p w14:paraId="3BDD811F" w14:textId="3E7D7E4A" w:rsidR="00E51352" w:rsidRPr="00E51352" w:rsidRDefault="006B5D2A" w:rsidP="00364FF8">
      <w:pPr>
        <w:pStyle w:val="Listenabsatz"/>
        <w:numPr>
          <w:ilvl w:val="0"/>
          <w:numId w:val="12"/>
        </w:numPr>
        <w:spacing w:after="240" w:line="276" w:lineRule="auto"/>
        <w:rPr>
          <w:rFonts w:ascii="Century Gothic" w:hAnsi="Century Gothic" w:cstheme="minorHAnsi"/>
        </w:rPr>
      </w:pPr>
      <w:hyperlink r:id="rId11" w:history="1">
        <w:r w:rsidR="00E51352" w:rsidRPr="004169DC">
          <w:rPr>
            <w:rStyle w:val="Hyperlink"/>
            <w:rFonts w:ascii="Century Gothic" w:hAnsi="Century Gothic" w:cstheme="minorHAnsi"/>
            <w:b/>
            <w:bCs/>
          </w:rPr>
          <w:t>We</w:t>
        </w:r>
        <w:r w:rsidR="00E51352" w:rsidRPr="00364FF8">
          <w:rPr>
            <w:rStyle w:val="Hyperlink"/>
            <w:rFonts w:ascii="Century Gothic" w:hAnsi="Century Gothic" w:cstheme="minorHAnsi"/>
            <w:b/>
            <w:bCs/>
          </w:rPr>
          <w:t>nn der Wind des Wandels weht…</w:t>
        </w:r>
      </w:hyperlink>
      <w:r w:rsidR="00E51352" w:rsidRPr="00E51352">
        <w:rPr>
          <w:rFonts w:ascii="Century Gothic" w:hAnsi="Century Gothic" w:cstheme="minorHAnsi"/>
        </w:rPr>
        <w:t xml:space="preserve"> TCM-Ernährungsberatung im Verlauf der Pandemie</w:t>
      </w:r>
    </w:p>
    <w:p w14:paraId="174181E5" w14:textId="27589E69" w:rsidR="00E51352" w:rsidRDefault="006B5D2A" w:rsidP="00364FF8">
      <w:pPr>
        <w:pStyle w:val="Listenabsatz"/>
        <w:numPr>
          <w:ilvl w:val="0"/>
          <w:numId w:val="12"/>
        </w:numPr>
        <w:spacing w:after="240" w:line="276" w:lineRule="auto"/>
        <w:rPr>
          <w:rFonts w:ascii="Century Gothic" w:hAnsi="Century Gothic" w:cstheme="minorHAnsi"/>
        </w:rPr>
      </w:pPr>
      <w:hyperlink r:id="rId12" w:history="1">
        <w:r w:rsidR="00E51352" w:rsidRPr="00364FF8">
          <w:rPr>
            <w:rStyle w:val="Hyperlink"/>
            <w:rFonts w:ascii="Century Gothic" w:hAnsi="Century Gothic" w:cstheme="minorHAnsi"/>
            <w:b/>
            <w:bCs/>
          </w:rPr>
          <w:t>Qigong bei Erschöpfung</w:t>
        </w:r>
      </w:hyperlink>
      <w:r w:rsidR="00E51352" w:rsidRPr="00E51352">
        <w:rPr>
          <w:rFonts w:ascii="Century Gothic" w:hAnsi="Century Gothic" w:cstheme="minorHAnsi"/>
        </w:rPr>
        <w:t xml:space="preserve"> – Video zu Übungen, die bei Erschöpfungszuständen helfen, das Immunsystem zu aktivieren und zur Entspannung und Stärkung beitrage</w:t>
      </w:r>
      <w:r w:rsidR="00E51352">
        <w:rPr>
          <w:rFonts w:ascii="Century Gothic" w:hAnsi="Century Gothic" w:cstheme="minorHAnsi"/>
        </w:rPr>
        <w:t>n</w:t>
      </w:r>
      <w:r w:rsidR="00E51352" w:rsidRPr="00E51352">
        <w:rPr>
          <w:rFonts w:ascii="Century Gothic" w:hAnsi="Century Gothic" w:cstheme="minorHAnsi"/>
        </w:rPr>
        <w:t>.</w:t>
      </w:r>
    </w:p>
    <w:p w14:paraId="454086C0" w14:textId="3204F7B1" w:rsidR="00364FF8" w:rsidRDefault="00364FF8" w:rsidP="00364FF8">
      <w:pPr>
        <w:spacing w:after="240"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Für Patient:innen enthält das Themen-Special einen Artikel zum TCM-Konzept der Lebenspflege „Yang Sheng“, das Methoden zur inneren und äußeren Gesunderhaltung umfasst. Diese können in der Prävention, aber auch nach einer Erkrankung nützlich sein. </w:t>
      </w:r>
      <w:r w:rsidR="00A63675">
        <w:rPr>
          <w:rFonts w:ascii="Century Gothic" w:hAnsi="Century Gothic" w:cstheme="minorHAnsi"/>
        </w:rPr>
        <w:t>Der Artikel „</w:t>
      </w:r>
      <w:hyperlink r:id="rId13" w:history="1">
        <w:r w:rsidR="00A63675" w:rsidRPr="004169DC">
          <w:rPr>
            <w:rStyle w:val="Hyperlink"/>
            <w:rFonts w:ascii="Century Gothic" w:hAnsi="Century Gothic" w:cstheme="minorHAnsi"/>
            <w:b/>
            <w:bCs/>
          </w:rPr>
          <w:t>Corona und kein Ende</w:t>
        </w:r>
      </w:hyperlink>
      <w:r w:rsidR="00A63675">
        <w:rPr>
          <w:rFonts w:ascii="Century Gothic" w:hAnsi="Century Gothic" w:cstheme="minorHAnsi"/>
        </w:rPr>
        <w:t xml:space="preserve"> – Was jede:r selbst tun </w:t>
      </w:r>
      <w:r w:rsidR="004169DC">
        <w:rPr>
          <w:rFonts w:ascii="Century Gothic" w:hAnsi="Century Gothic" w:cstheme="minorHAnsi"/>
        </w:rPr>
        <w:t xml:space="preserve">kann </w:t>
      </w:r>
      <w:r w:rsidR="00A63675">
        <w:rPr>
          <w:rFonts w:ascii="Century Gothic" w:hAnsi="Century Gothic" w:cstheme="minorHAnsi"/>
        </w:rPr>
        <w:t xml:space="preserve">und wie die Chinesische Medizin eine gesunde Lebensweise unterstützt“ enthält u. a. </w:t>
      </w:r>
      <w:r w:rsidR="00A63675" w:rsidRPr="00A63675">
        <w:rPr>
          <w:rFonts w:ascii="Century Gothic" w:hAnsi="Century Gothic" w:cstheme="minorHAnsi"/>
        </w:rPr>
        <w:t>Tipps und Informationen zu Atmung, Ernährung, Schlaf sowie zu</w:t>
      </w:r>
      <w:r w:rsidR="00A63675">
        <w:rPr>
          <w:rFonts w:ascii="Century Gothic" w:hAnsi="Century Gothic" w:cstheme="minorHAnsi"/>
        </w:rPr>
        <w:t xml:space="preserve"> </w:t>
      </w:r>
      <w:r w:rsidR="00A63675" w:rsidRPr="00A63675">
        <w:rPr>
          <w:rFonts w:ascii="Century Gothic" w:hAnsi="Century Gothic" w:cstheme="minorHAnsi"/>
        </w:rPr>
        <w:t>Taijiquan oder Qigong.</w:t>
      </w:r>
    </w:p>
    <w:p w14:paraId="5202DC17" w14:textId="4725FA1C" w:rsidR="006E007E" w:rsidRPr="00156665" w:rsidRDefault="00A63675" w:rsidP="00364FF8">
      <w:pPr>
        <w:pStyle w:val="Textkrper"/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„Wir möchten mit diesem Informationsangebot verständliche Informationen für </w:t>
      </w:r>
      <w:r w:rsidR="004169DC">
        <w:rPr>
          <w:rFonts w:ascii="Century Gothic" w:hAnsi="Century Gothic" w:cstheme="minorHAnsi"/>
        </w:rPr>
        <w:t xml:space="preserve">Therapeut:innen und </w:t>
      </w:r>
      <w:r>
        <w:rPr>
          <w:rFonts w:ascii="Century Gothic" w:hAnsi="Century Gothic" w:cstheme="minorHAnsi"/>
        </w:rPr>
        <w:t xml:space="preserve">Patient:innen zu Anwendungen und Möglichkeiten der TCM zur Verfügung zu stellen“, erklärt </w:t>
      </w:r>
      <w:r w:rsidR="00F558CB">
        <w:rPr>
          <w:rFonts w:ascii="Century Gothic" w:hAnsi="Century Gothic" w:cstheme="minorHAnsi"/>
        </w:rPr>
        <w:t>Dr. Martina Bögel-Witt, 1. Vorsitzende der AGTCM</w:t>
      </w:r>
      <w:r>
        <w:rPr>
          <w:rFonts w:ascii="Century Gothic" w:hAnsi="Century Gothic" w:cstheme="minorHAnsi"/>
        </w:rPr>
        <w:t xml:space="preserve">. „Das Special zu Post-COVID ist </w:t>
      </w:r>
      <w:r w:rsidR="004169DC">
        <w:rPr>
          <w:rFonts w:ascii="Century Gothic" w:hAnsi="Century Gothic" w:cstheme="minorHAnsi"/>
        </w:rPr>
        <w:t xml:space="preserve">deshalb </w:t>
      </w:r>
      <w:r>
        <w:rPr>
          <w:rFonts w:ascii="Century Gothic" w:hAnsi="Century Gothic" w:cstheme="minorHAnsi"/>
        </w:rPr>
        <w:t xml:space="preserve">schon die dritte Artikelsammlung, die wir unseren Mitgliedern und den Leser:innen unserer Website anbieten können.“ Bisher wurden die Themen „Erkältung und Immunsystem“ sowie „Haut- und Darmerkrankungen“ aufbereitet, weitere </w:t>
      </w:r>
      <w:r w:rsidR="0014492A">
        <w:rPr>
          <w:rFonts w:ascii="Century Gothic" w:hAnsi="Century Gothic" w:cstheme="minorHAnsi"/>
        </w:rPr>
        <w:t xml:space="preserve">Themenspecials werden </w:t>
      </w:r>
      <w:r>
        <w:rPr>
          <w:rFonts w:ascii="Century Gothic" w:hAnsi="Century Gothic" w:cstheme="minorHAnsi"/>
        </w:rPr>
        <w:t xml:space="preserve">folgen. </w:t>
      </w:r>
      <w:r w:rsidR="006B5D2A">
        <w:rPr>
          <w:rFonts w:ascii="Century Gothic" w:hAnsi="Century Gothic" w:cstheme="minorHAnsi"/>
          <w:sz w:val="22"/>
          <w:szCs w:val="22"/>
        </w:rPr>
        <w:lastRenderedPageBreak/>
        <w:pict w14:anchorId="2DAC7BBD">
          <v:rect id="_x0000_i1025" style="width:0;height:1.5pt" o:hralign="center" o:hrstd="t" o:hr="t" fillcolor="#a0a0a0" stroked="f"/>
        </w:pict>
      </w:r>
    </w:p>
    <w:p w14:paraId="52C230C7" w14:textId="77777777" w:rsidR="006E007E" w:rsidRPr="003C5B6B" w:rsidRDefault="00473DF2" w:rsidP="00364FF8">
      <w:pPr>
        <w:pStyle w:val="Textkrper"/>
        <w:spacing w:after="0" w:line="276" w:lineRule="auto"/>
        <w:rPr>
          <w:rFonts w:ascii="Century Gothic" w:hAnsi="Century Gothic" w:cstheme="minorHAnsi"/>
          <w:sz w:val="16"/>
          <w:szCs w:val="16"/>
        </w:rPr>
      </w:pPr>
      <w:r w:rsidRPr="003C5B6B">
        <w:rPr>
          <w:rFonts w:ascii="Century Gothic" w:hAnsi="Century Gothic" w:cstheme="minorHAnsi"/>
          <w:sz w:val="16"/>
          <w:szCs w:val="16"/>
        </w:rPr>
        <w:t>Die AGTCM ist ein berufsübergreifender Fachverband für Chinesische Medizin, der sich für höchste Qualität in Lehre und Anwendung der Traditionellen Chinesischen Medizin (TCM) einsetzt</w:t>
      </w:r>
      <w:r w:rsidR="0012476E" w:rsidRPr="003C5B6B">
        <w:rPr>
          <w:rFonts w:ascii="Century Gothic" w:hAnsi="Century Gothic" w:cstheme="minorHAnsi"/>
          <w:sz w:val="16"/>
          <w:szCs w:val="16"/>
        </w:rPr>
        <w:t xml:space="preserve"> und dabei auch modernere Aspekte der Chinesischen Medizin mit berücksichtigt.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Sie </w:t>
      </w:r>
      <w:r w:rsidRPr="003C5B6B">
        <w:rPr>
          <w:rFonts w:ascii="Century Gothic" w:hAnsi="Century Gothic" w:cstheme="minorHAnsi"/>
          <w:sz w:val="16"/>
          <w:szCs w:val="16"/>
        </w:rPr>
        <w:t xml:space="preserve">wurde 1954 gegründet und zählt heute etwa 1.700 Mitglieder, von denen die meisten als Heilpraktiker oder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als </w:t>
      </w:r>
      <w:r w:rsidR="00806EF6" w:rsidRPr="003C5B6B">
        <w:rPr>
          <w:rFonts w:ascii="Century Gothic" w:hAnsi="Century Gothic" w:cstheme="minorHAnsi"/>
          <w:sz w:val="16"/>
          <w:szCs w:val="16"/>
        </w:rPr>
        <w:t>Ärzte</w:t>
      </w:r>
      <w:r w:rsidRPr="003C5B6B">
        <w:rPr>
          <w:rFonts w:ascii="Century Gothic" w:hAnsi="Century Gothic" w:cstheme="minorHAnsi"/>
          <w:sz w:val="16"/>
          <w:szCs w:val="16"/>
        </w:rPr>
        <w:t xml:space="preserve"> TCM praktizieren.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Außerdem gehören </w:t>
      </w:r>
      <w:r w:rsidR="004E3C1E" w:rsidRPr="003C5B6B">
        <w:rPr>
          <w:rFonts w:ascii="Century Gothic" w:hAnsi="Century Gothic" w:cstheme="minorHAnsi"/>
          <w:sz w:val="16"/>
          <w:szCs w:val="16"/>
        </w:rPr>
        <w:t xml:space="preserve">u. a.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spezialisierte Physiotherapeuten, Hebammen und Sinologen dem Fachverband an. </w:t>
      </w:r>
      <w:r w:rsidR="0041356B" w:rsidRPr="003C5B6B">
        <w:rPr>
          <w:rFonts w:ascii="Century Gothic" w:hAnsi="Century Gothic" w:cstheme="minorHAnsi"/>
          <w:sz w:val="16"/>
          <w:szCs w:val="16"/>
        </w:rPr>
        <w:t>Die AGTCM</w:t>
      </w:r>
      <w:r w:rsidRPr="003C5B6B">
        <w:rPr>
          <w:rFonts w:ascii="Century Gothic" w:hAnsi="Century Gothic" w:cstheme="minorHAnsi"/>
          <w:sz w:val="16"/>
          <w:szCs w:val="16"/>
        </w:rPr>
        <w:t xml:space="preserve"> gehört zu den wichtigsten Verbänden für Chinesische Medizin in Deutschland und sichert mit ihren fünf Kooperationsschulen einen der höchsten Ausbildungsstandards für Akupunktur, chinesische Arzneimitteltherapie, Tuina</w:t>
      </w:r>
      <w:r w:rsidR="00322C6C" w:rsidRPr="003C5B6B">
        <w:rPr>
          <w:rFonts w:ascii="Century Gothic" w:hAnsi="Century Gothic" w:cstheme="minorHAnsi"/>
          <w:sz w:val="16"/>
          <w:szCs w:val="16"/>
        </w:rPr>
        <w:t>, Diätetik</w:t>
      </w:r>
      <w:r w:rsidRPr="003C5B6B">
        <w:rPr>
          <w:rFonts w:ascii="Century Gothic" w:hAnsi="Century Gothic" w:cstheme="minorHAnsi"/>
          <w:sz w:val="16"/>
          <w:szCs w:val="16"/>
        </w:rPr>
        <w:t xml:space="preserve"> und Qigong in Deutschla</w:t>
      </w:r>
      <w:r w:rsidR="003C5B6B">
        <w:rPr>
          <w:rFonts w:ascii="Century Gothic" w:hAnsi="Century Gothic" w:cstheme="minorHAnsi"/>
          <w:sz w:val="16"/>
          <w:szCs w:val="16"/>
        </w:rPr>
        <w:t>nd</w:t>
      </w:r>
      <w:r w:rsidRPr="003C5B6B">
        <w:rPr>
          <w:rFonts w:ascii="Century Gothic" w:hAnsi="Century Gothic" w:cstheme="minorHAnsi"/>
          <w:sz w:val="16"/>
          <w:szCs w:val="16"/>
        </w:rPr>
        <w:t>. Patienten unterstützt die AGTCM unter anderem bei der Suche nach passenden TCM-Therapeut</w:t>
      </w:r>
      <w:r w:rsidR="003C5B6B">
        <w:rPr>
          <w:rFonts w:ascii="Century Gothic" w:hAnsi="Century Gothic" w:cstheme="minorHAnsi"/>
          <w:sz w:val="16"/>
          <w:szCs w:val="16"/>
        </w:rPr>
        <w:t xml:space="preserve">en in ihrer Nähe </w:t>
      </w:r>
      <w:r w:rsidRPr="003C5B6B">
        <w:rPr>
          <w:rFonts w:ascii="Century Gothic" w:hAnsi="Century Gothic" w:cstheme="minorHAnsi"/>
          <w:sz w:val="16"/>
          <w:szCs w:val="16"/>
        </w:rPr>
        <w:t xml:space="preserve">und gibt ihnen Kriterien für die Qualität von TCM-Behandlungen an die Hand. Die AGTCM veranstaltet in jedem Jahr den </w:t>
      </w:r>
      <w:r w:rsidR="004E3C1E" w:rsidRPr="003C5B6B">
        <w:rPr>
          <w:rFonts w:ascii="Century Gothic" w:hAnsi="Century Gothic" w:cstheme="minorHAnsi"/>
          <w:sz w:val="16"/>
          <w:szCs w:val="16"/>
        </w:rPr>
        <w:t>internatio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nalen </w:t>
      </w:r>
      <w:r w:rsidRPr="003C5B6B">
        <w:rPr>
          <w:rFonts w:ascii="Century Gothic" w:hAnsi="Century Gothic" w:cstheme="minorHAnsi"/>
          <w:sz w:val="16"/>
          <w:szCs w:val="16"/>
        </w:rPr>
        <w:t xml:space="preserve">TCM Kongress Rothenburg (o.d.T.), der </w:t>
      </w:r>
      <w:r w:rsidR="0041356B" w:rsidRPr="003C5B6B">
        <w:rPr>
          <w:rFonts w:ascii="Century Gothic" w:hAnsi="Century Gothic" w:cstheme="minorHAnsi"/>
          <w:sz w:val="16"/>
          <w:szCs w:val="16"/>
        </w:rPr>
        <w:t>inzwischen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C36DD4" w:rsidRPr="003C5B6B">
        <w:rPr>
          <w:rFonts w:ascii="Century Gothic" w:hAnsi="Century Gothic" w:cstheme="minorHAnsi"/>
          <w:sz w:val="16"/>
          <w:szCs w:val="16"/>
        </w:rPr>
        <w:t xml:space="preserve">als größter und renommiertester </w:t>
      </w:r>
      <w:r w:rsidRPr="003C5B6B">
        <w:rPr>
          <w:rFonts w:ascii="Century Gothic" w:hAnsi="Century Gothic" w:cstheme="minorHAnsi"/>
          <w:sz w:val="16"/>
          <w:szCs w:val="16"/>
        </w:rPr>
        <w:t xml:space="preserve">TCM-Kongress der westlichen Welt etabliert </w:t>
      </w:r>
      <w:r w:rsidR="00C36DD4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. </w:t>
      </w:r>
      <w:r w:rsidR="0041356B" w:rsidRPr="003C5B6B">
        <w:rPr>
          <w:rFonts w:ascii="Century Gothic" w:hAnsi="Century Gothic" w:cstheme="minorHAnsi"/>
          <w:sz w:val="16"/>
          <w:szCs w:val="16"/>
        </w:rPr>
        <w:t>D</w:t>
      </w:r>
      <w:r w:rsidRPr="003C5B6B">
        <w:rPr>
          <w:rFonts w:ascii="Century Gothic" w:hAnsi="Century Gothic" w:cstheme="minorHAnsi"/>
          <w:sz w:val="16"/>
          <w:szCs w:val="16"/>
        </w:rPr>
        <w:t xml:space="preserve">ie AGTCM </w:t>
      </w:r>
      <w:r w:rsidR="0041356B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 Gründungsmitglied der European TCM Ass</w:t>
      </w:r>
      <w:r w:rsidR="003C5B6B">
        <w:rPr>
          <w:rFonts w:ascii="Century Gothic" w:hAnsi="Century Gothic" w:cstheme="minorHAnsi"/>
          <w:sz w:val="16"/>
          <w:szCs w:val="16"/>
        </w:rPr>
        <w:t>ociation (ETCMA)</w:t>
      </w:r>
      <w:r w:rsidRPr="003C5B6B">
        <w:rPr>
          <w:rFonts w:ascii="Century Gothic" w:hAnsi="Century Gothic" w:cstheme="minorHAnsi"/>
          <w:sz w:val="16"/>
          <w:szCs w:val="16"/>
        </w:rPr>
        <w:t xml:space="preserve">, in der Organisationen aus </w:t>
      </w:r>
      <w:r w:rsidR="00322C6C" w:rsidRPr="003C5B6B">
        <w:rPr>
          <w:rFonts w:ascii="Century Gothic" w:hAnsi="Century Gothic" w:cstheme="minorHAnsi"/>
          <w:sz w:val="16"/>
          <w:szCs w:val="16"/>
        </w:rPr>
        <w:t>31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 europäischen Ländern zusammen</w:t>
      </w:r>
      <w:r w:rsidRPr="003C5B6B">
        <w:rPr>
          <w:rFonts w:ascii="Century Gothic" w:hAnsi="Century Gothic" w:cstheme="minorHAnsi"/>
          <w:sz w:val="16"/>
          <w:szCs w:val="16"/>
        </w:rPr>
        <w:t>arbeiten.</w:t>
      </w:r>
    </w:p>
    <w:p w14:paraId="7ED614A3" w14:textId="77777777" w:rsidR="006E007E" w:rsidRPr="00156665" w:rsidRDefault="006B5D2A" w:rsidP="00364FF8">
      <w:pPr>
        <w:pStyle w:val="Textkrper"/>
        <w:spacing w:after="0" w:line="276" w:lineRule="auto"/>
        <w:rPr>
          <w:rFonts w:ascii="Century Gothic" w:hAnsi="Century Gothic" w:cstheme="minorHAnsi"/>
          <w:sz w:val="18"/>
          <w:szCs w:val="18"/>
          <w:u w:val="single"/>
        </w:rPr>
      </w:pPr>
      <w:r>
        <w:rPr>
          <w:rFonts w:ascii="Century Gothic" w:hAnsi="Century Gothic" w:cstheme="minorHAnsi"/>
          <w:sz w:val="18"/>
          <w:szCs w:val="18"/>
        </w:rPr>
        <w:pict w14:anchorId="4D13CEC3">
          <v:rect id="_x0000_i1026" style="width:0;height:1.5pt" o:hralign="center" o:hrstd="t" o:hr="t" fillcolor="#a0a0a0" stroked="f"/>
        </w:pict>
      </w:r>
    </w:p>
    <w:p w14:paraId="75E2A2F4" w14:textId="77777777" w:rsidR="006E007E" w:rsidRPr="003C5B6B" w:rsidRDefault="004D322A" w:rsidP="00364FF8">
      <w:pPr>
        <w:pStyle w:val="Textkrper"/>
        <w:spacing w:after="0" w:line="276" w:lineRule="auto"/>
        <w:rPr>
          <w:rFonts w:ascii="Century Gothic" w:hAnsi="Century Gothic" w:cstheme="minorHAnsi"/>
          <w:b/>
        </w:rPr>
      </w:pPr>
      <w:r w:rsidRPr="003C5B6B">
        <w:rPr>
          <w:rFonts w:ascii="Century Gothic" w:hAnsi="Century Gothic" w:cstheme="minorHAnsi"/>
          <w:b/>
        </w:rPr>
        <w:t xml:space="preserve">Pressekontakt: </w:t>
      </w:r>
    </w:p>
    <w:p w14:paraId="129260A8" w14:textId="77777777" w:rsidR="006E007E" w:rsidRPr="003C5B6B" w:rsidRDefault="00473DF2" w:rsidP="00364FF8">
      <w:pPr>
        <w:pStyle w:val="Textkrper"/>
        <w:spacing w:after="0" w:line="276" w:lineRule="auto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AGTCM </w:t>
      </w:r>
    </w:p>
    <w:p w14:paraId="1492C3CF" w14:textId="77777777" w:rsidR="006E007E" w:rsidRPr="003C5B6B" w:rsidRDefault="004D322A" w:rsidP="00364FF8">
      <w:pPr>
        <w:pStyle w:val="Textkrper"/>
        <w:spacing w:after="0" w:line="276" w:lineRule="auto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Juliane Papendorf</w:t>
      </w:r>
    </w:p>
    <w:p w14:paraId="5D6E8735" w14:textId="77777777" w:rsidR="006E007E" w:rsidRPr="003C5B6B" w:rsidRDefault="00473DF2" w:rsidP="00364FF8">
      <w:pPr>
        <w:pStyle w:val="Textkrper"/>
        <w:spacing w:after="0" w:line="276" w:lineRule="auto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Telefon: +49 (0)176</w:t>
      </w:r>
      <w:r w:rsidR="00C36DD4" w:rsidRPr="003C5B6B">
        <w:rPr>
          <w:rFonts w:ascii="Century Gothic" w:hAnsi="Century Gothic" w:cstheme="minorHAnsi"/>
        </w:rPr>
        <w:t xml:space="preserve"> </w:t>
      </w:r>
      <w:r w:rsidRPr="003C5B6B">
        <w:rPr>
          <w:rFonts w:ascii="Century Gothic" w:hAnsi="Century Gothic" w:cstheme="minorHAnsi"/>
        </w:rPr>
        <w:t>-</w:t>
      </w:r>
      <w:r w:rsidR="00C36DD4" w:rsidRPr="003C5B6B">
        <w:rPr>
          <w:rFonts w:ascii="Century Gothic" w:hAnsi="Century Gothic" w:cstheme="minorHAnsi"/>
        </w:rPr>
        <w:t xml:space="preserve"> </w:t>
      </w:r>
      <w:r w:rsidR="004D322A" w:rsidRPr="003C5B6B">
        <w:rPr>
          <w:rFonts w:ascii="Century Gothic" w:hAnsi="Century Gothic" w:cstheme="minorHAnsi"/>
        </w:rPr>
        <w:t>10 30 51 87</w:t>
      </w:r>
    </w:p>
    <w:p w14:paraId="7445E021" w14:textId="77777777" w:rsidR="006E007E" w:rsidRPr="003C5B6B" w:rsidRDefault="00473DF2" w:rsidP="00364FF8">
      <w:pPr>
        <w:pStyle w:val="Textkrper"/>
        <w:spacing w:after="0" w:line="276" w:lineRule="auto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E-Mail: p</w:t>
      </w:r>
      <w:r w:rsidR="004D322A" w:rsidRPr="003C5B6B">
        <w:rPr>
          <w:rFonts w:ascii="Century Gothic" w:hAnsi="Century Gothic" w:cstheme="minorHAnsi"/>
        </w:rPr>
        <w:t>apendorf</w:t>
      </w:r>
      <w:r w:rsidRPr="003C5B6B">
        <w:rPr>
          <w:rFonts w:ascii="Century Gothic" w:hAnsi="Century Gothic" w:cstheme="minorHAnsi"/>
        </w:rPr>
        <w:t>@agtcm.de</w:t>
      </w:r>
    </w:p>
    <w:p w14:paraId="37B45710" w14:textId="77777777" w:rsidR="00473DF2" w:rsidRPr="003C5B6B" w:rsidRDefault="00473DF2" w:rsidP="00364FF8">
      <w:pPr>
        <w:pStyle w:val="Textkrper"/>
        <w:spacing w:after="0" w:line="276" w:lineRule="auto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Internet: </w:t>
      </w:r>
      <w:hyperlink r:id="rId14" w:history="1">
        <w:r w:rsidR="00C36DD4" w:rsidRPr="003C5B6B">
          <w:rPr>
            <w:rStyle w:val="Hyperlink"/>
            <w:rFonts w:ascii="Century Gothic" w:hAnsi="Century Gothic" w:cstheme="minorHAnsi"/>
          </w:rPr>
          <w:t>www.agtcm.de</w:t>
        </w:r>
      </w:hyperlink>
      <w:r w:rsidR="00C36DD4" w:rsidRPr="003C5B6B">
        <w:rPr>
          <w:rFonts w:ascii="Century Gothic" w:hAnsi="Century Gothic" w:cstheme="minorHAnsi"/>
        </w:rPr>
        <w:t xml:space="preserve"> </w:t>
      </w:r>
    </w:p>
    <w:sectPr w:rsidR="00473DF2" w:rsidRPr="003C5B6B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99F5" w14:textId="77777777" w:rsidR="006B5D2A" w:rsidRDefault="006B5D2A">
      <w:r>
        <w:separator/>
      </w:r>
    </w:p>
  </w:endnote>
  <w:endnote w:type="continuationSeparator" w:id="0">
    <w:p w14:paraId="5E6F2F47" w14:textId="77777777" w:rsidR="006B5D2A" w:rsidRDefault="006B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6448" w14:textId="77777777" w:rsidR="0041356B" w:rsidRDefault="0041356B" w:rsidP="0041356B">
    <w:pPr>
      <w:pStyle w:val="Kopfzeile"/>
      <w:jc w:val="center"/>
    </w:pPr>
  </w:p>
  <w:p w14:paraId="6196137E" w14:textId="77777777" w:rsidR="0041356B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AGTCM Arbeitsgemeinschaft für Klassische Akupunktur und Traditionelle Chinesische Medizin e.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Pr="003C5B6B">
      <w:rPr>
        <w:rFonts w:ascii="Century Gothic" w:hAnsi="Century Gothic" w:cstheme="minorHAnsi"/>
        <w:sz w:val="16"/>
        <w:szCs w:val="16"/>
      </w:rPr>
      <w:t xml:space="preserve">V. </w:t>
    </w:r>
  </w:p>
  <w:p w14:paraId="5576B3D8" w14:textId="77777777" w:rsidR="00C2760E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Fachverband Chinesische Medizin ● </w:t>
    </w:r>
  </w:p>
  <w:p w14:paraId="45DE54F6" w14:textId="77777777" w:rsidR="0041356B" w:rsidRPr="003C5B6B" w:rsidRDefault="00965D65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Geschäftsführender Vorstand: Dr. Martina Bögel-Witt, Birgit Ziegler, </w:t>
    </w:r>
    <w:r w:rsidR="00C2760E" w:rsidRPr="003C5B6B">
      <w:rPr>
        <w:rFonts w:ascii="Century Gothic" w:hAnsi="Century Gothic" w:cstheme="minorHAnsi"/>
        <w:sz w:val="16"/>
        <w:szCs w:val="16"/>
      </w:rPr>
      <w:t>Jürgen Weber</w:t>
    </w:r>
  </w:p>
  <w:p w14:paraId="7D6E45FE" w14:textId="77777777" w:rsidR="0041356B" w:rsidRPr="003C5B6B" w:rsidRDefault="0041356B" w:rsidP="00C36DD4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Geschäftsstelle: Breite Str. 16, 13187 Berlin ● Tel: 030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="00C36DD4" w:rsidRPr="003C5B6B">
      <w:rPr>
        <w:rFonts w:ascii="Century Gothic" w:hAnsi="Century Gothic" w:cstheme="minorHAnsi"/>
        <w:sz w:val="16"/>
        <w:szCs w:val="16"/>
      </w:rPr>
      <w:t>–</w:t>
    </w:r>
    <w:r w:rsidRPr="003C5B6B">
      <w:rPr>
        <w:rFonts w:ascii="Century Gothic" w:hAnsi="Century Gothic" w:cstheme="minorHAnsi"/>
        <w:sz w:val="16"/>
        <w:szCs w:val="16"/>
      </w:rPr>
      <w:t xml:space="preserve"> 48476297 ● </w:t>
    </w:r>
    <w:hyperlink r:id="rId1" w:history="1">
      <w:r w:rsidRPr="003C5B6B">
        <w:rPr>
          <w:rStyle w:val="Hyperlink"/>
          <w:rFonts w:ascii="Century Gothic" w:hAnsi="Century Gothic" w:cstheme="minorHAnsi"/>
          <w:sz w:val="16"/>
          <w:szCs w:val="16"/>
        </w:rPr>
        <w:t>www.agtcm.de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9659" w14:textId="77777777" w:rsidR="006B5D2A" w:rsidRDefault="006B5D2A">
      <w:r>
        <w:separator/>
      </w:r>
    </w:p>
  </w:footnote>
  <w:footnote w:type="continuationSeparator" w:id="0">
    <w:p w14:paraId="644AFADF" w14:textId="77777777" w:rsidR="006B5D2A" w:rsidRDefault="006B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233F" w14:textId="77777777" w:rsidR="00156665" w:rsidRDefault="00156665" w:rsidP="00156665">
    <w:pPr>
      <w:pStyle w:val="Kopfzeile"/>
      <w:tabs>
        <w:tab w:val="clear" w:pos="5103"/>
        <w:tab w:val="clear" w:pos="10206"/>
        <w:tab w:val="left" w:pos="3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0A06CB"/>
    <w:multiLevelType w:val="hybridMultilevel"/>
    <w:tmpl w:val="5A805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D2"/>
    <w:multiLevelType w:val="hybridMultilevel"/>
    <w:tmpl w:val="06EA8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011"/>
    <w:multiLevelType w:val="hybridMultilevel"/>
    <w:tmpl w:val="20F85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448"/>
    <w:multiLevelType w:val="hybridMultilevel"/>
    <w:tmpl w:val="45880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35DC"/>
    <w:multiLevelType w:val="hybridMultilevel"/>
    <w:tmpl w:val="9F62D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2232"/>
    <w:multiLevelType w:val="hybridMultilevel"/>
    <w:tmpl w:val="3AE02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4EE5"/>
    <w:multiLevelType w:val="hybridMultilevel"/>
    <w:tmpl w:val="99BA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20A2"/>
    <w:multiLevelType w:val="hybridMultilevel"/>
    <w:tmpl w:val="40B6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5A1"/>
    <w:multiLevelType w:val="hybridMultilevel"/>
    <w:tmpl w:val="54BA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B25"/>
    <w:multiLevelType w:val="hybridMultilevel"/>
    <w:tmpl w:val="8C46F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2"/>
    <w:rsid w:val="000528D5"/>
    <w:rsid w:val="000539A6"/>
    <w:rsid w:val="00054096"/>
    <w:rsid w:val="00056B7E"/>
    <w:rsid w:val="000C1F05"/>
    <w:rsid w:val="000E161D"/>
    <w:rsid w:val="000E5F65"/>
    <w:rsid w:val="00106D5F"/>
    <w:rsid w:val="00110CCC"/>
    <w:rsid w:val="0012476E"/>
    <w:rsid w:val="001317E2"/>
    <w:rsid w:val="0014065C"/>
    <w:rsid w:val="00144091"/>
    <w:rsid w:val="0014492A"/>
    <w:rsid w:val="001451EE"/>
    <w:rsid w:val="00156665"/>
    <w:rsid w:val="001644BC"/>
    <w:rsid w:val="001867AB"/>
    <w:rsid w:val="00217D3F"/>
    <w:rsid w:val="00253B40"/>
    <w:rsid w:val="002B5F4C"/>
    <w:rsid w:val="002E239C"/>
    <w:rsid w:val="002E305E"/>
    <w:rsid w:val="00322C6C"/>
    <w:rsid w:val="00341806"/>
    <w:rsid w:val="00364FF8"/>
    <w:rsid w:val="003677B6"/>
    <w:rsid w:val="00372780"/>
    <w:rsid w:val="003871B0"/>
    <w:rsid w:val="003B0CD3"/>
    <w:rsid w:val="003B68D6"/>
    <w:rsid w:val="003C09A2"/>
    <w:rsid w:val="003C5B6B"/>
    <w:rsid w:val="003E671D"/>
    <w:rsid w:val="003F7BE2"/>
    <w:rsid w:val="0041356B"/>
    <w:rsid w:val="004169DC"/>
    <w:rsid w:val="004251CF"/>
    <w:rsid w:val="004445C9"/>
    <w:rsid w:val="00473DF2"/>
    <w:rsid w:val="004D322A"/>
    <w:rsid w:val="004E1493"/>
    <w:rsid w:val="004E26EA"/>
    <w:rsid w:val="004E3341"/>
    <w:rsid w:val="004E3C1E"/>
    <w:rsid w:val="00512F45"/>
    <w:rsid w:val="005155AF"/>
    <w:rsid w:val="005335AB"/>
    <w:rsid w:val="00553FCC"/>
    <w:rsid w:val="00554374"/>
    <w:rsid w:val="0056191B"/>
    <w:rsid w:val="005D30EF"/>
    <w:rsid w:val="005E0762"/>
    <w:rsid w:val="005F09AA"/>
    <w:rsid w:val="006A7495"/>
    <w:rsid w:val="006B5D2A"/>
    <w:rsid w:val="006D0C0D"/>
    <w:rsid w:val="006E007E"/>
    <w:rsid w:val="006F3A02"/>
    <w:rsid w:val="00771BFF"/>
    <w:rsid w:val="00806EF6"/>
    <w:rsid w:val="00852A96"/>
    <w:rsid w:val="0086151C"/>
    <w:rsid w:val="00896473"/>
    <w:rsid w:val="009106E6"/>
    <w:rsid w:val="00965D65"/>
    <w:rsid w:val="00981C72"/>
    <w:rsid w:val="0098437E"/>
    <w:rsid w:val="009B4F70"/>
    <w:rsid w:val="009B5A55"/>
    <w:rsid w:val="009D0446"/>
    <w:rsid w:val="009E2116"/>
    <w:rsid w:val="00A04D43"/>
    <w:rsid w:val="00A41ABD"/>
    <w:rsid w:val="00A553AE"/>
    <w:rsid w:val="00A57FA0"/>
    <w:rsid w:val="00A63675"/>
    <w:rsid w:val="00A63892"/>
    <w:rsid w:val="00A903C7"/>
    <w:rsid w:val="00A91D52"/>
    <w:rsid w:val="00AC3225"/>
    <w:rsid w:val="00AF6C20"/>
    <w:rsid w:val="00B1504F"/>
    <w:rsid w:val="00B627DE"/>
    <w:rsid w:val="00BA243F"/>
    <w:rsid w:val="00C2760E"/>
    <w:rsid w:val="00C36DD4"/>
    <w:rsid w:val="00C53598"/>
    <w:rsid w:val="00CB2BFD"/>
    <w:rsid w:val="00CE4C25"/>
    <w:rsid w:val="00CE7BDD"/>
    <w:rsid w:val="00D05FF7"/>
    <w:rsid w:val="00D10C25"/>
    <w:rsid w:val="00D43101"/>
    <w:rsid w:val="00D50575"/>
    <w:rsid w:val="00D6462A"/>
    <w:rsid w:val="00D64959"/>
    <w:rsid w:val="00E35E13"/>
    <w:rsid w:val="00E51352"/>
    <w:rsid w:val="00E65793"/>
    <w:rsid w:val="00EC2A41"/>
    <w:rsid w:val="00EC74A2"/>
    <w:rsid w:val="00EE069B"/>
    <w:rsid w:val="00EF5BF2"/>
    <w:rsid w:val="00EF6342"/>
    <w:rsid w:val="00EF6F91"/>
    <w:rsid w:val="00F04B52"/>
    <w:rsid w:val="00F15A1E"/>
    <w:rsid w:val="00F170D1"/>
    <w:rsid w:val="00F43B15"/>
    <w:rsid w:val="00F475CA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4AF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F4C"/>
    <w:pPr>
      <w:widowControl w:val="0"/>
      <w:suppressAutoHyphens/>
    </w:pPr>
    <w:rPr>
      <w:lang w:eastAsia="ar-SA"/>
    </w:rPr>
  </w:style>
  <w:style w:type="paragraph" w:styleId="berschrift1">
    <w:name w:val="heading 1"/>
    <w:basedOn w:val="berschrift"/>
    <w:next w:val="Textkrper"/>
    <w:qFormat/>
    <w:rsid w:val="002B5F4C"/>
    <w:pPr>
      <w:numPr>
        <w:numId w:val="2"/>
      </w:numPr>
      <w:outlineLvl w:val="0"/>
    </w:pPr>
  </w:style>
  <w:style w:type="paragraph" w:styleId="berschrift3">
    <w:name w:val="heading 3"/>
    <w:basedOn w:val="Standard"/>
    <w:link w:val="berschrift3Zchn"/>
    <w:uiPriority w:val="9"/>
    <w:qFormat/>
    <w:rsid w:val="00A903C7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sid w:val="002B5F4C"/>
    <w:rPr>
      <w:color w:val="548DD4" w:themeColor="text2" w:themeTint="99"/>
    </w:rPr>
  </w:style>
  <w:style w:type="character" w:customStyle="1" w:styleId="Aufzhlungszeichen1">
    <w:name w:val="Aufzählungszeichen1"/>
  </w:style>
  <w:style w:type="character" w:styleId="BesuchterLink">
    <w:name w:val="FollowedHyperlink"/>
  </w:style>
  <w:style w:type="character" w:customStyle="1" w:styleId="Nummerierungszeichen">
    <w:name w:val="Nummerierungszeichen"/>
  </w:style>
  <w:style w:type="character" w:customStyle="1" w:styleId="SprechblasentextZchn">
    <w:name w:val="Sprechblasentext Zchn"/>
    <w:rPr>
      <w:sz w:val="18"/>
      <w:szCs w:val="18"/>
    </w:rPr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chn">
    <w:name w:val="Kommentartext Zchn"/>
    <w:rPr>
      <w:sz w:val="24"/>
      <w:szCs w:val="24"/>
    </w:rPr>
  </w:style>
  <w:style w:type="character" w:customStyle="1" w:styleId="KommentarthemaZchn">
    <w:name w:val="Kommentarthema Zchn"/>
    <w:rPr>
      <w:b/>
      <w:bCs/>
      <w:sz w:val="24"/>
      <w:szCs w:val="24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Kopfzeile1">
    <w:name w:val="Kopfzeile1"/>
    <w:pPr>
      <w:suppressAutoHyphens/>
    </w:pPr>
    <w:rPr>
      <w:lang w:eastAsia="ar-SA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sz w:val="18"/>
      <w:szCs w:val="18"/>
    </w:rPr>
  </w:style>
  <w:style w:type="paragraph" w:customStyle="1" w:styleId="Kommentartext1">
    <w:name w:val="Kommentartext1"/>
    <w:basedOn w:val="Standard"/>
    <w:rPr>
      <w:sz w:val="24"/>
      <w:szCs w:val="24"/>
    </w:rPr>
  </w:style>
  <w:style w:type="paragraph" w:styleId="Kommentarthema">
    <w:name w:val="annotation subject"/>
    <w:basedOn w:val="Kommentartext1"/>
    <w:next w:val="Kommentartext1"/>
    <w:rPr>
      <w:b/>
      <w:bCs/>
      <w:sz w:val="20"/>
      <w:szCs w:val="20"/>
    </w:rPr>
  </w:style>
  <w:style w:type="paragraph" w:customStyle="1" w:styleId="FarbigeSchattierung-Akzent11">
    <w:name w:val="Farbige Schattierung - Akzent 11"/>
    <w:pPr>
      <w:suppressAutoHyphens/>
    </w:pPr>
    <w:rPr>
      <w:lang w:eastAsia="ar-SA"/>
    </w:rPr>
  </w:style>
  <w:style w:type="paragraph" w:customStyle="1" w:styleId="Kommentartext2">
    <w:name w:val="Kommentartext2"/>
    <w:basedOn w:val="Standard"/>
  </w:style>
  <w:style w:type="character" w:customStyle="1" w:styleId="berschrift3Zchn">
    <w:name w:val="Überschrift 3 Zchn"/>
    <w:basedOn w:val="Absatz-Standardschriftart"/>
    <w:link w:val="berschrift3"/>
    <w:uiPriority w:val="9"/>
    <w:rsid w:val="00A903C7"/>
    <w:rPr>
      <w:b/>
      <w:bCs/>
      <w:sz w:val="27"/>
      <w:szCs w:val="2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3C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9C"/>
    <w:rPr>
      <w:sz w:val="16"/>
      <w:szCs w:val="16"/>
    </w:rPr>
  </w:style>
  <w:style w:type="paragraph" w:styleId="Kommentartext">
    <w:name w:val="annotation text"/>
    <w:basedOn w:val="Standard"/>
    <w:link w:val="KommentartextZchn2"/>
    <w:uiPriority w:val="99"/>
    <w:semiHidden/>
    <w:unhideWhenUsed/>
    <w:rsid w:val="002E239C"/>
  </w:style>
  <w:style w:type="character" w:customStyle="1" w:styleId="KommentartextZchn2">
    <w:name w:val="Kommentartext Zchn2"/>
    <w:basedOn w:val="Absatz-Standardschriftart"/>
    <w:link w:val="Kommentartext"/>
    <w:uiPriority w:val="99"/>
    <w:semiHidden/>
    <w:rsid w:val="002E239C"/>
    <w:rPr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D0C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51E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5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gtcm.de/patienten/anwendungsgebiete/post-covid/corona-und-kein-end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tcm.de/aus-weiterbildung/tcm-fachartikel/post-covid/qigong-bei-erschoepfung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tcm.de/aus-weiterbildung/tcm-fachartikel/wenn-der-wind-des-wandels-weht.htmhttps:/www.agtcm.de/aus-weiterbildung/tcm-fachartikel/wenn-der-wind-des-wandels-weht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gtcm.de/aus-weiterbildung/tcm-fachartikel/post-covid/post-covid-eine-falldokumentation-aus-der-tcm-prax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tcm.de/fachverband/wissenschaft-forschung/covid-19-und-die-chinesische-medizin-wo-stehen-wir.htm" TargetMode="External"/><Relationship Id="rId14" Type="http://schemas.openxmlformats.org/officeDocument/2006/relationships/hyperlink" Target="http://www.agtc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tc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9A10-23F9-4BB9-A4E6-6E3C5A1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2021-06-16T07:49:00Z</dcterms:created>
  <dcterms:modified xsi:type="dcterms:W3CDTF">2021-10-06T09:38:00Z</dcterms:modified>
</cp:coreProperties>
</file>